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357</w:t>
      </w:r>
    </w:p>
    <w:p>
      <w:r>
        <w:t>Bundesgericht (BGE), 2025-10-08, DE</w:t>
      </w:r>
    </w:p>
    <w:p>
      <w:r>
        <w:rPr>
          <w:b/>
        </w:rPr>
        <w:t xml:space="preserve">Quelle: </w:t>
      </w:r>
      <w:r>
        <w:t>https://mcp.opencaselaw.ch/entscheid/bge_151 IV 357</w:t>
      </w:r>
    </w:p>
    <w:p>
      <w:r>
        <w:t>FR: ATF 151 IV 357</w:t>
      </w:r>
    </w:p>
    <w:p>
      <w:r>
        <w:t>IT: DTF 151 IV 357</w:t>
      </w:r>
    </w:p>
    <w:p>
      <w:pPr>
        <w:pStyle w:val="Heading2"/>
      </w:pPr>
      <w:r>
        <w:t>Regeste</w:t>
      </w:r>
    </w:p>
    <w:p>
      <w:r>
        <w:t>Regeste Art. 90 Abs. 3 und 3 ter SVG in Verbindung mit Art. 41 und 47 StGB; qualifiziert grobe Verletzung der Verkehrsregeln; Strafzumessung. Art. 90 Abs. 3 ter SVG räumt dem Richter bei der Strafzumessung einen grösseren Ermessensspielraum ein, da er bei nicht rückfälligen Tätern nicht mehr an die in Art. 90 Abs. 3 SVG vorgeschriebene Mindestfreiheitsstrafe von einem Jahr gebunden ist. Diese Möglichkeit soll es ihm erlauben, alle Umstände des Einzelfalls zu berücksichtigen und so unnötige Härtefälle zu vermeiden. Diese Bestimmung ist eine Kann-Vorschrift in dem Sinne, dass sie dem Richter die Möglichkeit gibt, eine Freiheitsstrafe von weniger als einem Jahr - aber höchstens vier Jahren - oder eine Geldstrafe zu verhängen, ihn jedoch nicht dazu verpflichtet. Die Strafmilderung ist nicht zwingend vorgeschrieben; es besteht auch kein Anspruch auf die Verhängung einer Geldstrafe. Der Richter muss die Strafe entsprechend der Schuld der beschuldigten Person festsetzen, dabei jedoch den erweiterten Strafrahmen berücksichtigen. In diesem Sinne ist der Richter verpflichtet, den erweiterten Strafrahmen gemäss Art. 90 Abs. 3 ter SVG zu berücksichtigen, wenn die Voraussetzungen dieser Bestimmung erfüllt sind. Die Kann-Vorschrift ist daher nicht so zu verstehen, dass der Richter frei zwischen den in Art. 90 Abs. 3 und 3 ter SVG vorgesehenen Strafen wählen kann (E. 2.1.1). Art. 90 Abs. 3 ter SVG gilt auch für Fahrzeugführer, die seit weniger als zehn Jahren im Besitz eines Führerscheins sind (Bestätigung der Rechtsprechung; E. 2.1.1). Der neue Art. 90 Abs. 3 ter SVG, der für den Täter günstiger ist, gilt als lex mitior (Art. 2 Abs. 2 StGB; Bestätigung der Rechtsprechung; E. 2.3.1).</w:t>
      </w:r>
    </w:p>
    <w:p>
      <w:pPr>
        <w:pStyle w:val="Heading2"/>
      </w:pPr>
      <w:r>
        <w:t>Erwägungen</w:t>
      </w:r>
    </w:p>
    <w:p>
      <w:r>
        <w:rPr>
          <w:b/>
        </w:rPr>
        <w:t>E. 2</w:t>
      </w:r>
    </w:p>
    <w:p>
      <w:r>
        <w:t>Le recourant fait valoir une violation des art. 90 al. 3 ter LCR et 47 CP, en lien avec les art. 90 al. 3 et 4 LCR ainsi que les art. 41 CP et 2 al. 2 CP.</w:t>
      </w:r>
    </w:p>
    <w:p>
      <w:r>
        <w:rPr>
          <w:b/>
        </w:rPr>
        <w:t>E. 2.1.1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L'alinéa 4, dans sa version en vigueur jusqu'au 30 septembre 2023, prévoyait que l'alinéa 3 était en tout cas applicable si la vitesse maximale autorisée était dépassée d'au moins: 40 km/h dans une zone limitée à 30 km/h (let. a); 50 km/h dans une zone de 50 km/h (let. b); 60 km/h dans une zone de 80 km/h (let. c); 80 km/h dans une zone de 120 km/h (let. d). L'art. 90 al. 3 ter LCR, entré en vigueur le 1 er octobre 2023 (RO 2023 453; FF 2021 3026), prévoit qu'en cas d'infractions au sens de l'alinéa 3, l'auteur peut être puni d'une peine privative de liberté de quatre ans au plus ou d'une peine pécuniaire s'il n'a pas été condamné, au BGE 151 IV 357 S. 361 cours des dix années précédant les faits, pour un crime ou un délit routier ayant gravement mis en danger la sécurité de tiers ou ayant entraîné des blessures ou la mort de tiers. Cette disposition confère, dans la fixation de la peine, une plus grande marge d'appréciation au juge, qui n'est plus lié par la peine privative de liberté minimale d'un an prescrite par l' art. 90 al. 3 LCR , en ce qui concerne les auteurs non récidivistes ( ATF 151 IV 88 consid. 2.5.1; ATF 150 IV 481 consid. 2.2 et 2.4). Cette possibilité doit lui permettre de tenir compte de toutes les circonstances du cas d'espèce et d'ainsi éviter des cas de rigueur inutiles (cf. ATF 151 IV 88 précité consid. 2.3.3, qui résume la genèse de l'al. 3 ter ). L'art. 90 al. 3 ter LCR constitue une norme potestative ("Kann-Vorschrift"; ATF 151 IV 88 précité consid. 2.6), dans le sens où elle permet au juge de fixer - mais ne l'oblige pas - une peine privative de liberté inférieure à un an - mais de quatre ans au plus - ou une peine pécuniaire. L'atténuation de la peine n'est pas obligatoire; il n'existe pas non plus de droit au prononcé d'une peine pécuniaire. Le juge doit fixer la peine en fonction de la culpabilité du prévenu, mais en tenant compte du cadre pénal élargi ("der erweiterte Strafrahmen"; arrêt 6B_929/2024 du 10 avril 2025 consid. 3.4 et la référence à l' ATF 136 IV 55 consid. 5.8). En ce sens, le juge est tenu de prendre en compte le cadre pénal élargi prévu à l'art. 90 al. 3 ter LCR lorsque les conditions prévues par cette disposition sont remplies. La norme potestative ne doit donc pas être comprise comme signifiant que le juge peut choisir librement entre la peine prévue à l'al. 3 et celle prévue à l'al. 3 ter de l' art. 90 LCR . L'examen des condamnations d'un auteur "au cours des dix années précédant les faits" ne dépend pas de la date d'obtention du permis de conduire, respectivement du nombre d'années de pratique de la conduite. L'art. 90 al. 3 ter LCR s'applique donc également aux conducteurs qui sont titulaires du permis de conduire depuis une durée inférieure à dix ans ( ATF 151 IV 88 précité consid. 2.5 s.).</w:t>
      </w:r>
    </w:p>
    <w:p>
      <w:r>
        <w:rPr>
          <w:b/>
        </w:rPr>
        <w:t>E. 2.1.2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BGE 151 IV 357 S. 362 la lésion, compte tenu de sa situation personnelle et des circonstances extérieures (al. 2; ATF 149 IV 217 consid. 1.1; ATF 142 IV 137 consid. 9.1; ATF 141 IV 61 consid. 6.1.1 et les arrêts cités).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ATF 144 IV 313 consid. 1.2; ATF 136 IV 55 consid. 5.6; arrêt 6B_440/2024 du 7 mai 2025 consid. 7.6.2). 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BGE 151 IV 357 S. 363 la sanction doit être opéré en tenant compte, outre la culpabilité de l'auteur, de l'adéquation de la peine, de ses effets sur l'auteur et sur sa situation sociale ainsi que de son efficacité du point de vue de la prévention ( ATF 147 IV 241 consid. 3.2; ATF 144 IV 313 consid. 1.1.1 et les références citées; arrêt 6B_1092/2023 du 24 mai 2024 consid. 4.3). Conformément à l' art. 41 al. 2 CP , le juge doit motiver le choix de la peine privative de liberté de manière circonstanciée.</w:t>
      </w:r>
    </w:p>
    <w:p>
      <w:r>
        <w:rPr>
          <w:b/>
        </w:rPr>
        <w:t>E. 2.2</w:t>
      </w:r>
    </w:p>
    <w:p>
      <w:r>
        <w:t>La cour cantonale a retenu que le recourant avait roulé à 103 km/h, marge de sécurité déduite, sur un tronçon en localité limité à 50 km/h. Si, après avoir dans un premier temps refusé de répondre aux questions de la police et du Ministère public, il avait finalement reconnu les faits, il apparaissait qu'il ne s'en était jamais réellement expliqué, ne donnant aucun détail sur les circonstances dans lesquelles il avait commis l'excès de vitesse. Il s'était borné à indiquer qu'il était au volant d'une voiture très puissante, que c'était une des premières fois que son père la lui prêtait, qu'il était dans une forme d'euphorie et qu'il ne s'était pas rendu compte de la vitesse qu'il avait atteinte, se laissant emporter par la puissance; il ne pensait pas qu'à l'endroit en question la vitesse était limitée à 50 km/h. Or, de l'avis de l'autorité précédente, "ne pas se rendre compte" ne saurait expliquer un délit de chauffard. Le recourant avait appuyé pendant trois à cinq secondes sur la pédale de l'accélérateur avant de réaliser, vraisemblablement en raison du flash dû à l'excès de vitesse, qu'il roulait trop vite. Le mobile - le plaisir à conduire rapidement - s'avérait dès lors particulièrement futile et la prise de conscience insuffisante. Rien dans les déclarations du recourant ne permettait en effet de considérer qu'il aurait compris la gravité de son comportement. Le recourant avait commis l'infraction pendant la période probatoire de son permis ( art. 15a LCR ). Au vu de ces éléments, il n'apparaissait pas que l'on serait dans un cas de "rigueur excessive" que le législateur avait cherché à éviter en introduisant l'art. 90 al. 3 ter LCR. Partant, il n'y avait pas lieu de déroger à la règle de l' art. 90 al. 3 LCR , qui fixe une peine plancher privative de liberté d'une année. Par surabondance, l'autorité précédente a retenu qu'il y avait lieu de craindre qu'une peine pécuniaire ne puisse pas être exécutée ( art. 41 al. 1 let. b CP ), voire soit exécutée par les parents, compte tenu du statut d'étudiant du recourant ainsi que du fait qu'il dépendait entièrement de ces derniers sur le plan financier et ne percevait qu'un salaire irrégulier et peu élevé. Une peine privative de liberté s'imposait BGE 151 IV 357 S. 364 par conséquent en toute hypothèse, pour des motifs de prévention spéciale. S'agissant de la quotité de la peine, la cour cantonale a tenu compte, à charge, de la futilité du mobile, du manque de considération pour les autres usagers de la route ainsi que de la collaboration toute relative du recourant à la procédure. À décharge, elle a retenu son jeune âge et le fait qu'il n'avait plus occupé les autorités pénales depuis les faits. La peine minimale, à savoir un an de peine privative de liberté, devait sanctionner son comportement. Le recourant, qui remplissait les conditions du sursis, pouvait en bénéficier, la durée du délai d'épreuve, fixée à trois ans, n'ayant pas été contestée et paraissant adéquate afin de permettre au jeune conducteur de faire ses preuves. De même, l'amende à titre de sanction immédiate, à hauteur de 1'080 fr., convertible en 36 jours de peine privative de liberté en cas de non-paiement fautif, a été confirmée.</w:t>
      </w:r>
    </w:p>
    <w:p>
      <w:r>
        <w:rPr>
          <w:b/>
        </w:rPr>
        <w:t>E. 2.3.1</w:t>
      </w:r>
    </w:p>
    <w:p>
      <w:r>
        <w:t>Il n'est pas contesté que le nouvel art. 90 al. 3 ter LCR, plus favorable au recourant, s'applique à titre de lex mitior ( art. 2 al. 2 CP ; ATF 151 IV 88 consid. 2.1.2).</w:t>
      </w:r>
    </w:p>
    <w:p>
      <w:r>
        <w:rPr>
          <w:b/>
        </w:rPr>
        <w:t>E. 2.3.2</w:t>
      </w:r>
    </w:p>
    <w:p>
      <w:r>
        <w:t>En l'espèce, en tant que le recourant fonde son argumentation sur des faits qui divergent de ceux retenus par la cour cantonale, sa critique s'avère irrecevable (cf. art. 105 al. 1 LTF ). Dans la mesure où le recourant soutient que la cour cantonale aurait considéré qu'il n'était pas "digne" de profiter de l'art. 90 al. 3 ter LCR, au motif qu'il n'était titulaire du permis de conduire que depuis deux ans et demi, il ne peut être suivi, rien de tel ne ressortant de la motivation développée par les juges précédents. Il en va de même quand il conteste le mobile retenu par la cour cantonale (le plaisir de conduire rapidement) puisqu'il n'a pas démontré que le jugement entrepris serait arbitraire sur ce point (cf. consid. 1.2 non publié).</w:t>
      </w:r>
    </w:p>
    <w:p>
      <w:r>
        <w:rPr>
          <w:b/>
        </w:rPr>
        <w:t>E. 2.3.3</w:t>
      </w:r>
    </w:p>
    <w:p>
      <w:r>
        <w:t>Il n'est pas contesté que le recourant est un délinquant primaire, vu qu'il ressort du jugement entrepris que son casier judiciaire et son extrait du registre fédéral des mesures administratives sont vierges. Au vu de la jurisprudence exposée ci-devant, l'art. 90 al. 3 ter LCR lui est donc applicable, quand bien même il possède son permis de conduire depuis une durée inférieure à dix ans. Les conditions posées par l'art. 90 al. 3 ter LCR étaient réunies, de sorte que cette disposition devait s'appliquer. BGE 151 IV 357 S. 365 Il en découle qu'en retenant qu'il n'y avait pas lieu de déroger à la règle de l' art. 90 al. 3 LCR , la cour cantonale a violé le droit fédéral. En se considérant liée par la peine privative de liberté minimale d'un an, elle a violé les règles relatives à la fixation de la peine et commis un abus de son pouvoir d'appréciation. C'est ainsi en tenant compte du cadre pénal élargi que la cour cantonale devait fixer et motiver la peine. En particulier, si elle entendait prononcer une peine privative de liberté à la place d'une peine pécuniaire, le choix de la sanction devait être opéré selon les critères développés en lien avec l' art. 41 al. 1 CP et le choix d'une peine privative de liberté motivé de manière circonstanciée (cf. supra consid. 2.1.2). À cet égard, il convient de relever que la motivation par surabondance retenue par la cour cantonale (cf. supra, consid. 2.2, 2 e paragraphe), qui se limite à des considérations générales, ne satisfait pas aux exigences particulières de motivation de l' art. 41 al. 2 CP . Dans ces conditions, la cause doit être renvoyée à l'autorité précédente pour qu'elle se prononce à nouveau sur la fixation de la peine. Partant, les autres griefs du recourant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